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bookmarkEnd w:id="2"/>
      <w:r w:rsidR="007D62D6" w:rsidRPr="007D62D6">
        <w:t>R4-2107301</w:t>
      </w:r>
    </w:p>
    <w:p w:rsidR="00675C27" w:rsidRPr="00444A16" w:rsidRDefault="005C3EE4" w:rsidP="00F71A33">
      <w:pPr>
        <w:pStyle w:val="a1"/>
        <w:rPr>
          <w:rFonts w:eastAsia="宋体"/>
          <w:lang w:eastAsia="zh-CN"/>
        </w:rPr>
      </w:pPr>
      <w:bookmarkStart w:id="3" w:name="OLE_LINK15"/>
      <w:r w:rsidRPr="005C3EE4">
        <w:rPr>
          <w:rFonts w:eastAsia="宋体"/>
          <w:lang w:eastAsia="zh-CN"/>
        </w:rPr>
        <w:t>Electronic Meeting, Apr. 12-20, 2021</w:t>
      </w:r>
    </w:p>
    <w:bookmarkEnd w:id="3"/>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242854">
        <w:rPr>
          <w:rFonts w:ascii="Arial" w:hAnsi="Arial" w:cs="Arial" w:hint="eastAsia"/>
          <w:sz w:val="22"/>
        </w:rPr>
        <w:t xml:space="preserve">, </w:t>
      </w:r>
      <w:proofErr w:type="spellStart"/>
      <w:r w:rsidR="00242854">
        <w:rPr>
          <w:rFonts w:ascii="Arial" w:hAnsi="Arial" w:cs="Arial" w:hint="eastAsia"/>
          <w:sz w:val="22"/>
        </w:rPr>
        <w:t>Hi</w:t>
      </w:r>
      <w:r w:rsidR="0024285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72BB7" w:rsidRPr="00F72BB7">
        <w:rPr>
          <w:rFonts w:ascii="Arial" w:hAnsi="Arial" w:cs="Arial"/>
          <w:sz w:val="22"/>
        </w:rPr>
        <w:t>Feasibility analysis of 600MHz duplexer</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D62D6">
        <w:rPr>
          <w:rFonts w:ascii="Arial" w:hAnsi="Arial" w:cs="Arial"/>
          <w:sz w:val="22"/>
        </w:rPr>
        <w:t>9.3.4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3E7EC7" w:rsidP="009A089A">
      <w:r>
        <w:t>Band plan and duplexer feasibility were discussed in last RAN4 meeting, but the issues are still open for further study [1]</w:t>
      </w:r>
      <w:r w:rsidR="005369EE">
        <w:t xml:space="preserve">. </w:t>
      </w:r>
      <w:r>
        <w:t>Meanwhile, a new LS from AWG-27 was sent out to RAN4, which requests RAN4 to further evaluate the implementation feasibility, especially for option B1 and B2.</w:t>
      </w:r>
    </w:p>
    <w:p w:rsidR="003E7EC7" w:rsidRDefault="003E7EC7" w:rsidP="009A089A">
      <w:r>
        <w:t>This contribution provides our analysis and simulation results for the band plan options.</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3E7EC7" w:rsidP="005369EE">
      <w:pPr>
        <w:rPr>
          <w:lang w:val="en-US" w:eastAsia="en-US"/>
        </w:rPr>
      </w:pPr>
      <w:r>
        <w:rPr>
          <w:lang w:val="en-US" w:eastAsia="en-US"/>
        </w:rPr>
        <w:t>The duplexer options in the WF are copied as below:</w:t>
      </w:r>
    </w:p>
    <w:p w:rsidR="00873543" w:rsidRPr="003E7EC7" w:rsidRDefault="006D600E" w:rsidP="003E7EC7">
      <w:pPr>
        <w:numPr>
          <w:ilvl w:val="0"/>
          <w:numId w:val="43"/>
        </w:numPr>
        <w:spacing w:after="0"/>
        <w:ind w:hanging="357"/>
        <w:rPr>
          <w:i/>
          <w:lang w:val="en-US" w:eastAsia="en-US"/>
        </w:rPr>
      </w:pPr>
      <w:r w:rsidRPr="003E7EC7">
        <w:rPr>
          <w:i/>
          <w:lang w:val="en-US" w:eastAsia="en-US"/>
        </w:rPr>
        <w:t>Duplex filter options</w:t>
      </w:r>
    </w:p>
    <w:p w:rsidR="00873543" w:rsidRPr="003E7EC7" w:rsidRDefault="006D600E" w:rsidP="00DC5B6C">
      <w:pPr>
        <w:numPr>
          <w:ilvl w:val="1"/>
          <w:numId w:val="44"/>
        </w:numPr>
        <w:spacing w:after="0"/>
        <w:rPr>
          <w:i/>
          <w:lang w:val="en-US" w:eastAsia="en-US"/>
        </w:rPr>
      </w:pPr>
      <w:r w:rsidRPr="003E7EC7">
        <w:rPr>
          <w:i/>
          <w:lang w:val="en-US" w:eastAsia="en-US"/>
        </w:rPr>
        <w:t>Companies are encouraged to provide further analysis whether single duplexer more than 35 MHz pass band can be ruled out.</w:t>
      </w:r>
    </w:p>
    <w:p w:rsidR="00873543" w:rsidRPr="003E7EC7" w:rsidRDefault="006D600E" w:rsidP="00DC5B6C">
      <w:pPr>
        <w:numPr>
          <w:ilvl w:val="1"/>
          <w:numId w:val="44"/>
        </w:numPr>
        <w:spacing w:after="0"/>
        <w:rPr>
          <w:i/>
          <w:lang w:val="en-US" w:eastAsia="en-US"/>
        </w:rPr>
      </w:pPr>
      <w:r w:rsidRPr="003E7EC7">
        <w:rPr>
          <w:i/>
          <w:lang w:val="en-US" w:eastAsia="en-US"/>
        </w:rPr>
        <w:t>Companies are encouraged to provide further analysis whether the following split duplexer assumptions can be used.</w:t>
      </w:r>
    </w:p>
    <w:p w:rsidR="00873543" w:rsidRPr="003E7EC7" w:rsidRDefault="006D600E" w:rsidP="003E7EC7">
      <w:pPr>
        <w:numPr>
          <w:ilvl w:val="2"/>
          <w:numId w:val="43"/>
        </w:numPr>
        <w:spacing w:after="0"/>
        <w:ind w:hanging="357"/>
        <w:rPr>
          <w:i/>
          <w:lang w:val="en-US" w:eastAsia="en-US"/>
        </w:rPr>
      </w:pPr>
      <w:r w:rsidRPr="003E7EC7">
        <w:rPr>
          <w:i/>
          <w:lang w:val="en-US" w:eastAsia="en-US"/>
        </w:rPr>
        <w:t>One of the duplexers supports band n71, another duplexer covers (at least) the extended frequency range for APT.</w:t>
      </w:r>
    </w:p>
    <w:p w:rsidR="00873543" w:rsidRPr="003E7EC7" w:rsidRDefault="006D600E" w:rsidP="003E7EC7">
      <w:pPr>
        <w:numPr>
          <w:ilvl w:val="2"/>
          <w:numId w:val="43"/>
        </w:numPr>
        <w:spacing w:after="0"/>
        <w:ind w:hanging="357"/>
        <w:rPr>
          <w:i/>
          <w:lang w:val="en-US" w:eastAsia="en-US"/>
        </w:rPr>
      </w:pPr>
      <w:r w:rsidRPr="003E7EC7">
        <w:rPr>
          <w:i/>
          <w:lang w:val="en-US" w:eastAsia="en-US"/>
        </w:rPr>
        <w:t>Other split-duplexer arrangements that facilitate support of 71/n71 (and hence the requirements for 71/n71)</w:t>
      </w:r>
    </w:p>
    <w:p w:rsidR="00873543" w:rsidRPr="003E7EC7" w:rsidRDefault="006D600E" w:rsidP="00DC5B6C">
      <w:pPr>
        <w:numPr>
          <w:ilvl w:val="1"/>
          <w:numId w:val="44"/>
        </w:numPr>
        <w:spacing w:after="0"/>
        <w:rPr>
          <w:i/>
          <w:lang w:val="en-US" w:eastAsia="en-US"/>
        </w:rPr>
      </w:pPr>
      <w:r w:rsidRPr="003E7EC7">
        <w:rPr>
          <w:i/>
          <w:lang w:val="en-US" w:eastAsia="en-US"/>
        </w:rPr>
        <w:t>Companies are encouraged to further analyze the feasibility of duplexers w.r.t.</w:t>
      </w:r>
    </w:p>
    <w:p w:rsidR="00873543" w:rsidRPr="003E7EC7" w:rsidRDefault="006D600E" w:rsidP="003E7EC7">
      <w:pPr>
        <w:numPr>
          <w:ilvl w:val="2"/>
          <w:numId w:val="43"/>
        </w:numPr>
        <w:spacing w:after="0"/>
        <w:ind w:hanging="357"/>
        <w:rPr>
          <w:i/>
          <w:lang w:val="en-US" w:eastAsia="en-US"/>
        </w:rPr>
      </w:pPr>
      <w:r w:rsidRPr="003E7EC7">
        <w:rPr>
          <w:i/>
          <w:lang w:val="en-US" w:eastAsia="en-US"/>
        </w:rPr>
        <w:t>Insertion loss and isolation for different center gap and pass band sizes.</w:t>
      </w:r>
    </w:p>
    <w:p w:rsidR="00873543" w:rsidRPr="003E7EC7" w:rsidRDefault="006D600E" w:rsidP="003E7EC7">
      <w:pPr>
        <w:numPr>
          <w:ilvl w:val="2"/>
          <w:numId w:val="43"/>
        </w:numPr>
        <w:spacing w:after="0"/>
        <w:ind w:hanging="357"/>
        <w:rPr>
          <w:i/>
          <w:lang w:val="en-US" w:eastAsia="en-US"/>
        </w:rPr>
      </w:pPr>
      <w:r w:rsidRPr="003E7EC7">
        <w:rPr>
          <w:i/>
          <w:lang w:val="en-US" w:eastAsia="en-US"/>
        </w:rPr>
        <w:t>Coexistence with own band, band 28, DTV, RAS etc., e.g., by means of filter isolation, uplink RB restriction, or A-MPR, etc.</w:t>
      </w:r>
    </w:p>
    <w:p w:rsidR="00873543" w:rsidRPr="003E7EC7" w:rsidRDefault="006D600E" w:rsidP="003E7EC7">
      <w:pPr>
        <w:numPr>
          <w:ilvl w:val="2"/>
          <w:numId w:val="43"/>
        </w:numPr>
        <w:spacing w:after="0"/>
        <w:ind w:hanging="357"/>
        <w:rPr>
          <w:i/>
          <w:lang w:val="en-US" w:eastAsia="en-US"/>
        </w:rPr>
      </w:pPr>
      <w:r w:rsidRPr="003E7EC7">
        <w:rPr>
          <w:i/>
          <w:lang w:val="en-US" w:eastAsia="en-US"/>
        </w:rPr>
        <w:t xml:space="preserve">Compatibility with band n71 </w:t>
      </w:r>
    </w:p>
    <w:p w:rsidR="007A08D1" w:rsidRDefault="007A08D1" w:rsidP="005369EE">
      <w:pPr>
        <w:rPr>
          <w:lang w:val="en-US" w:eastAsia="en-US"/>
        </w:rPr>
      </w:pPr>
    </w:p>
    <w:p w:rsidR="003E7EC7" w:rsidRDefault="007A08D1" w:rsidP="005369EE">
      <w:pPr>
        <w:rPr>
          <w:lang w:val="en-US" w:eastAsia="en-US"/>
        </w:rPr>
      </w:pPr>
      <w:r>
        <w:rPr>
          <w:lang w:val="en-US" w:eastAsia="en-US"/>
        </w:rPr>
        <w:t xml:space="preserve">There cases according to the WF as well as the further LS from AWG are considered in the feasibility analysis in this contribution. </w:t>
      </w:r>
    </w:p>
    <w:p w:rsidR="007A08D1" w:rsidRDefault="007A08D1" w:rsidP="005369EE">
      <w:pPr>
        <w:rPr>
          <w:lang w:val="en-US" w:eastAsia="en-US"/>
        </w:rPr>
      </w:pPr>
      <w:r w:rsidRPr="007A08D1">
        <w:rPr>
          <w:noProof/>
          <w:lang w:val="en-US"/>
        </w:rPr>
        <w:drawing>
          <wp:inline distT="0" distB="0" distL="0" distR="0" wp14:anchorId="70317F24" wp14:editId="49EA6E7A">
            <wp:extent cx="6122035" cy="1145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145540"/>
                    </a:xfrm>
                    <a:prstGeom prst="rect">
                      <a:avLst/>
                    </a:prstGeom>
                  </pic:spPr>
                </pic:pic>
              </a:graphicData>
            </a:graphic>
          </wp:inline>
        </w:drawing>
      </w:r>
    </w:p>
    <w:p w:rsidR="00532650" w:rsidRPr="00532650" w:rsidRDefault="00532650" w:rsidP="00532650">
      <w:pPr>
        <w:jc w:val="center"/>
        <w:rPr>
          <w:rFonts w:ascii="Arial" w:hAnsi="Arial" w:cs="Arial"/>
          <w:b/>
          <w:lang w:val="en-US" w:eastAsia="en-US"/>
        </w:rPr>
      </w:pPr>
      <w:r w:rsidRPr="00532650">
        <w:rPr>
          <w:rFonts w:ascii="Arial" w:hAnsi="Arial" w:cs="Arial"/>
          <w:b/>
          <w:lang w:val="en-US" w:eastAsia="en-US"/>
        </w:rPr>
        <w:t>Figure 1: Feasibility analysis cases</w:t>
      </w:r>
    </w:p>
    <w:p w:rsidR="00421971" w:rsidRDefault="007A08D1" w:rsidP="007A08D1">
      <w:pPr>
        <w:pStyle w:val="Heading2"/>
        <w:spacing w:after="240"/>
        <w:rPr>
          <w:lang w:val="en-US"/>
        </w:rPr>
      </w:pPr>
      <w:r>
        <w:rPr>
          <w:lang w:val="en-US"/>
        </w:rPr>
        <w:t>Case 1 (full duplexer, option B1)</w:t>
      </w:r>
    </w:p>
    <w:p w:rsidR="007A08D1" w:rsidRDefault="007A08D1" w:rsidP="007A08D1">
      <w:pPr>
        <w:rPr>
          <w:lang w:val="en-US" w:eastAsia="en-US"/>
        </w:rPr>
      </w:pPr>
      <w:r>
        <w:rPr>
          <w:lang w:val="en-US" w:eastAsia="en-US"/>
        </w:rPr>
        <w:t>The frequency range of option B1 mentioned by AWG LS is:</w:t>
      </w:r>
    </w:p>
    <w:p w:rsidR="007A08D1" w:rsidRPr="00760710" w:rsidRDefault="007A08D1" w:rsidP="007A08D1">
      <w:pPr>
        <w:rPr>
          <w:b/>
          <w:lang w:val="en-US" w:eastAsia="en-US"/>
        </w:rPr>
      </w:pPr>
      <w:r w:rsidRPr="00760710">
        <w:rPr>
          <w:b/>
          <w:lang w:val="en-US" w:eastAsia="en-US"/>
        </w:rPr>
        <w:t xml:space="preserve">DL: 612-652MHz/ UL: </w:t>
      </w:r>
      <w:r w:rsidR="00760710" w:rsidRPr="00760710">
        <w:rPr>
          <w:b/>
          <w:lang w:val="en-US" w:eastAsia="en-US"/>
        </w:rPr>
        <w:t xml:space="preserve">683-703MHz. </w:t>
      </w:r>
      <w:proofErr w:type="spellStart"/>
      <w:r w:rsidR="00760710" w:rsidRPr="00760710">
        <w:rPr>
          <w:b/>
          <w:lang w:val="en-US" w:eastAsia="en-US"/>
        </w:rPr>
        <w:t>Tx</w:t>
      </w:r>
      <w:proofErr w:type="spellEnd"/>
      <w:r w:rsidR="00760710" w:rsidRPr="00760710">
        <w:rPr>
          <w:b/>
          <w:lang w:val="en-US" w:eastAsia="en-US"/>
        </w:rPr>
        <w:t>/Rx separation gap is 11MHz.</w:t>
      </w:r>
    </w:p>
    <w:p w:rsidR="00760710" w:rsidRDefault="00760710" w:rsidP="007A08D1">
      <w:pPr>
        <w:rPr>
          <w:lang w:val="en-US" w:eastAsia="en-US"/>
        </w:rPr>
      </w:pPr>
      <w:r>
        <w:rPr>
          <w:lang w:val="en-US" w:eastAsia="en-US"/>
        </w:rPr>
        <w:lastRenderedPageBreak/>
        <w:t xml:space="preserve">To be compatible with existing band </w:t>
      </w:r>
      <w:r w:rsidR="00532650">
        <w:rPr>
          <w:lang w:val="en-US" w:eastAsia="en-US"/>
        </w:rPr>
        <w:t xml:space="preserve">B71/n71, the similar requirements for duplexer of B71 is considered to evaluate the full band duplexer. </w:t>
      </w:r>
    </w:p>
    <w:p w:rsidR="00532650" w:rsidRDefault="00532650" w:rsidP="007A08D1">
      <w:pPr>
        <w:rPr>
          <w:lang w:val="en-US" w:eastAsia="en-US"/>
        </w:rPr>
      </w:pPr>
      <w:r>
        <w:rPr>
          <w:lang w:val="en-US" w:eastAsia="en-US"/>
        </w:rPr>
        <w:t>Figure 2 is copied from TR 36.755. Besides the normal Rx/</w:t>
      </w:r>
      <w:proofErr w:type="spellStart"/>
      <w:r>
        <w:rPr>
          <w:lang w:val="en-US" w:eastAsia="en-US"/>
        </w:rPr>
        <w:t>Tx</w:t>
      </w:r>
      <w:proofErr w:type="spellEnd"/>
      <w:r>
        <w:rPr>
          <w:lang w:val="en-US" w:eastAsia="en-US"/>
        </w:rPr>
        <w:t xml:space="preserve"> rejections, co-existence with DTV CH36 and protection of band 29 are specifically considered in the evaluation. </w:t>
      </w:r>
    </w:p>
    <w:p w:rsidR="00532650" w:rsidRDefault="00532650" w:rsidP="00532650">
      <w:pPr>
        <w:jc w:val="center"/>
        <w:rPr>
          <w:lang w:val="en-US" w:eastAsia="en-US"/>
        </w:rPr>
      </w:pPr>
      <w:r w:rsidRPr="00F71644">
        <w:object w:dxaOrig="11699" w:dyaOrig="4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166.55pt" o:ole="">
            <v:imagedata r:id="rId9" o:title=""/>
          </v:shape>
          <o:OLEObject Type="Embed" ProgID="Visio.Drawing.11" ShapeID="_x0000_i1025" DrawAspect="Content" ObjectID="_1678929036" r:id="rId10"/>
        </w:object>
      </w:r>
    </w:p>
    <w:p w:rsidR="00532650" w:rsidRPr="00532650" w:rsidRDefault="00532650" w:rsidP="00532650">
      <w:pPr>
        <w:jc w:val="center"/>
        <w:rPr>
          <w:rFonts w:ascii="Arial" w:hAnsi="Arial" w:cs="Arial"/>
          <w:b/>
          <w:lang w:val="en-US" w:eastAsia="en-US"/>
        </w:rPr>
      </w:pPr>
      <w:r>
        <w:rPr>
          <w:rFonts w:ascii="Arial" w:hAnsi="Arial" w:cs="Arial"/>
          <w:b/>
          <w:lang w:val="en-US" w:eastAsia="en-US"/>
        </w:rPr>
        <w:t>Figure 2</w:t>
      </w:r>
      <w:r w:rsidRPr="00532650">
        <w:rPr>
          <w:rFonts w:ascii="Arial" w:hAnsi="Arial" w:cs="Arial"/>
          <w:b/>
          <w:lang w:val="en-US" w:eastAsia="en-US"/>
        </w:rPr>
        <w:t xml:space="preserve">: </w:t>
      </w:r>
      <w:r>
        <w:rPr>
          <w:rFonts w:ascii="Arial" w:hAnsi="Arial" w:cs="Arial"/>
          <w:b/>
          <w:lang w:val="en-US" w:eastAsia="en-US"/>
        </w:rPr>
        <w:t>Frequency bands around 600MHz</w:t>
      </w:r>
    </w:p>
    <w:p w:rsidR="00E832BE" w:rsidRDefault="00E832BE" w:rsidP="00E832BE">
      <w:pPr>
        <w:rPr>
          <w:lang w:val="en-US" w:eastAsia="en-US"/>
        </w:rPr>
      </w:pPr>
      <w:r>
        <w:rPr>
          <w:lang w:val="en-US" w:eastAsia="en-US"/>
        </w:rPr>
        <w:t xml:space="preserve">Parameters of a commercial available B71 duplexer is provided as below for reference. </w:t>
      </w:r>
    </w:p>
    <w:p w:rsidR="00E832BE" w:rsidRDefault="00E832BE" w:rsidP="00E832BE">
      <w:pPr>
        <w:jc w:val="center"/>
        <w:rPr>
          <w:lang w:val="en-US" w:eastAsia="en-US"/>
        </w:rPr>
      </w:pPr>
      <w:r w:rsidRPr="00E832BE">
        <w:rPr>
          <w:noProof/>
          <w:lang w:val="en-US"/>
        </w:rPr>
        <w:drawing>
          <wp:inline distT="0" distB="0" distL="0" distR="0" wp14:anchorId="14BD92A1" wp14:editId="0C8AD337">
            <wp:extent cx="4865427" cy="9215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29633" cy="933670"/>
                    </a:xfrm>
                    <a:prstGeom prst="rect">
                      <a:avLst/>
                    </a:prstGeom>
                  </pic:spPr>
                </pic:pic>
              </a:graphicData>
            </a:graphic>
          </wp:inline>
        </w:drawing>
      </w:r>
    </w:p>
    <w:p w:rsidR="00E832BE" w:rsidRDefault="00E832BE" w:rsidP="00E832BE">
      <w:pPr>
        <w:jc w:val="center"/>
        <w:rPr>
          <w:lang w:val="en-US" w:eastAsia="en-US"/>
        </w:rPr>
      </w:pPr>
      <w:r w:rsidRPr="00E832BE">
        <w:rPr>
          <w:noProof/>
          <w:lang w:val="en-US"/>
        </w:rPr>
        <w:drawing>
          <wp:inline distT="0" distB="0" distL="0" distR="0" wp14:anchorId="19C9BD7C" wp14:editId="4E9AC227">
            <wp:extent cx="4812510" cy="1597655"/>
            <wp:effectExtent l="0" t="0" r="7620" b="3175"/>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2"/>
                    <a:stretch>
                      <a:fillRect/>
                    </a:stretch>
                  </pic:blipFill>
                  <pic:spPr>
                    <a:xfrm>
                      <a:off x="0" y="0"/>
                      <a:ext cx="4828050" cy="1602814"/>
                    </a:xfrm>
                    <a:prstGeom prst="rect">
                      <a:avLst/>
                    </a:prstGeom>
                  </pic:spPr>
                </pic:pic>
              </a:graphicData>
            </a:graphic>
          </wp:inline>
        </w:drawing>
      </w:r>
    </w:p>
    <w:p w:rsidR="00532650" w:rsidRDefault="00E832BE" w:rsidP="007A08D1">
      <w:pPr>
        <w:rPr>
          <w:lang w:val="en-US" w:eastAsia="en-US"/>
        </w:rPr>
      </w:pPr>
      <w:r>
        <w:rPr>
          <w:lang w:val="en-US" w:eastAsia="en-US"/>
        </w:rPr>
        <w:t xml:space="preserve">Preliminary evaluation shows that the full band duplexer for option B1 is implementation feasible, while keeping enough </w:t>
      </w:r>
      <w:proofErr w:type="spellStart"/>
      <w:r>
        <w:rPr>
          <w:lang w:val="en-US" w:eastAsia="en-US"/>
        </w:rPr>
        <w:t>Tx</w:t>
      </w:r>
      <w:proofErr w:type="spellEnd"/>
      <w:r>
        <w:rPr>
          <w:lang w:val="en-US" w:eastAsia="en-US"/>
        </w:rPr>
        <w:t>/Rx attenuation as well as the rejection at Band 29. Since the low bound of the frequency range is closer to DTV CH36, it is expected that the Rx blocking performance would be a bit worse than that of B71.</w:t>
      </w:r>
      <w:r w:rsidR="00CF3A62">
        <w:rPr>
          <w:lang w:val="en-US" w:eastAsia="en-US"/>
        </w:rPr>
        <w:t xml:space="preserve"> Some further evaluation is still needed. </w:t>
      </w:r>
    </w:p>
    <w:p w:rsidR="007A08D1" w:rsidRDefault="007A08D1" w:rsidP="007A08D1">
      <w:pPr>
        <w:pStyle w:val="Heading2"/>
        <w:spacing w:after="240"/>
        <w:rPr>
          <w:lang w:val="en-US"/>
        </w:rPr>
      </w:pPr>
      <w:r>
        <w:rPr>
          <w:lang w:val="en-US"/>
        </w:rPr>
        <w:t>Case 2 (full duplexer)</w:t>
      </w:r>
    </w:p>
    <w:p w:rsidR="00760710" w:rsidRDefault="00760710" w:rsidP="00760710">
      <w:pPr>
        <w:rPr>
          <w:lang w:val="en-US" w:eastAsia="en-US"/>
        </w:rPr>
      </w:pPr>
      <w:r>
        <w:rPr>
          <w:lang w:val="en-US" w:eastAsia="en-US"/>
        </w:rPr>
        <w:t>The frequency range of option B1 mentioned by AWG LS is:</w:t>
      </w:r>
    </w:p>
    <w:p w:rsidR="00760710" w:rsidRPr="00760710" w:rsidRDefault="00E832BE" w:rsidP="00760710">
      <w:pPr>
        <w:rPr>
          <w:b/>
          <w:lang w:val="en-US" w:eastAsia="en-US"/>
        </w:rPr>
      </w:pPr>
      <w:r>
        <w:rPr>
          <w:b/>
          <w:lang w:val="en-US" w:eastAsia="en-US"/>
        </w:rPr>
        <w:t>DL: 617-657</w:t>
      </w:r>
      <w:r w:rsidR="00760710" w:rsidRPr="00760710">
        <w:rPr>
          <w:b/>
          <w:lang w:val="en-US" w:eastAsia="en-US"/>
        </w:rPr>
        <w:t xml:space="preserve">MHz/ UL: </w:t>
      </w:r>
      <w:r>
        <w:rPr>
          <w:b/>
          <w:lang w:val="en-US" w:eastAsia="en-US"/>
        </w:rPr>
        <w:t>66</w:t>
      </w:r>
      <w:r w:rsidR="00760710" w:rsidRPr="00760710">
        <w:rPr>
          <w:b/>
          <w:lang w:val="en-US" w:eastAsia="en-US"/>
        </w:rPr>
        <w:t xml:space="preserve">3-703MHz. </w:t>
      </w:r>
      <w:proofErr w:type="spellStart"/>
      <w:r w:rsidR="00760710" w:rsidRPr="00760710">
        <w:rPr>
          <w:b/>
          <w:lang w:val="en-US" w:eastAsia="en-US"/>
        </w:rPr>
        <w:t>Tx</w:t>
      </w:r>
      <w:proofErr w:type="spellEnd"/>
      <w:r w:rsidR="00760710" w:rsidRPr="00760710">
        <w:rPr>
          <w:b/>
          <w:lang w:val="en-US" w:eastAsia="en-US"/>
        </w:rPr>
        <w:t xml:space="preserve">/Rx separation gap is </w:t>
      </w:r>
      <w:r>
        <w:rPr>
          <w:b/>
          <w:lang w:val="en-US" w:eastAsia="en-US"/>
        </w:rPr>
        <w:t xml:space="preserve">6 </w:t>
      </w:r>
      <w:proofErr w:type="spellStart"/>
      <w:r w:rsidR="00760710" w:rsidRPr="00760710">
        <w:rPr>
          <w:b/>
          <w:lang w:val="en-US" w:eastAsia="en-US"/>
        </w:rPr>
        <w:t>MHz.</w:t>
      </w:r>
      <w:proofErr w:type="spellEnd"/>
    </w:p>
    <w:p w:rsidR="00532650" w:rsidRDefault="00BA4197" w:rsidP="007A08D1">
      <w:pPr>
        <w:rPr>
          <w:lang w:val="en-US" w:eastAsia="en-US"/>
        </w:rPr>
      </w:pPr>
      <w:r>
        <w:rPr>
          <w:lang w:val="en-US" w:eastAsia="en-US"/>
        </w:rPr>
        <w:t xml:space="preserve">The Gap/Fc is 0.9% while the BW/Fc is 6.3%, which is the most challenging case for all the close </w:t>
      </w:r>
      <w:proofErr w:type="spellStart"/>
      <w:r>
        <w:rPr>
          <w:lang w:val="en-US" w:eastAsia="en-US"/>
        </w:rPr>
        <w:t>Tx</w:t>
      </w:r>
      <w:proofErr w:type="spellEnd"/>
      <w:r>
        <w:rPr>
          <w:lang w:val="en-US" w:eastAsia="en-US"/>
        </w:rPr>
        <w:t>/Rx bands. Based on our evaluation and feedback from one filter vendor, it is not feasible so far based on the appropriate in-band IL and out-band attenuation requirements.</w:t>
      </w:r>
    </w:p>
    <w:p w:rsidR="007A08D1" w:rsidRDefault="007A08D1" w:rsidP="007A08D1">
      <w:pPr>
        <w:pStyle w:val="Heading2"/>
        <w:spacing w:after="240"/>
        <w:rPr>
          <w:lang w:val="en-US"/>
        </w:rPr>
      </w:pPr>
      <w:r>
        <w:rPr>
          <w:lang w:val="en-US"/>
        </w:rPr>
        <w:t>Case 3 (dual duplexer)</w:t>
      </w:r>
    </w:p>
    <w:p w:rsidR="00760710" w:rsidRDefault="00760710" w:rsidP="00760710">
      <w:pPr>
        <w:rPr>
          <w:lang w:val="en-US" w:eastAsia="en-US"/>
        </w:rPr>
      </w:pPr>
      <w:r>
        <w:rPr>
          <w:lang w:val="en-US" w:eastAsia="en-US"/>
        </w:rPr>
        <w:lastRenderedPageBreak/>
        <w:t>The frequency range of option B2 mentioned by AWG LS is:</w:t>
      </w:r>
    </w:p>
    <w:p w:rsidR="00760710" w:rsidRDefault="00760710" w:rsidP="00760710">
      <w:pPr>
        <w:rPr>
          <w:b/>
          <w:lang w:val="en-US" w:eastAsia="en-US"/>
        </w:rPr>
      </w:pPr>
      <w:r>
        <w:rPr>
          <w:b/>
          <w:lang w:val="en-US" w:eastAsia="en-US"/>
        </w:rPr>
        <w:t xml:space="preserve">Duplexer 1: </w:t>
      </w:r>
      <w:r w:rsidRPr="00760710">
        <w:rPr>
          <w:b/>
          <w:lang w:val="en-US" w:eastAsia="en-US"/>
        </w:rPr>
        <w:t>DL: 6</w:t>
      </w:r>
      <w:r>
        <w:rPr>
          <w:b/>
          <w:lang w:val="en-US" w:eastAsia="en-US"/>
        </w:rPr>
        <w:t>2</w:t>
      </w:r>
      <w:r w:rsidRPr="00760710">
        <w:rPr>
          <w:b/>
          <w:lang w:val="en-US" w:eastAsia="en-US"/>
        </w:rPr>
        <w:t>2-65</w:t>
      </w:r>
      <w:r>
        <w:rPr>
          <w:b/>
          <w:lang w:val="en-US" w:eastAsia="en-US"/>
        </w:rPr>
        <w:t>7</w:t>
      </w:r>
      <w:r w:rsidRPr="00760710">
        <w:rPr>
          <w:b/>
          <w:lang w:val="en-US" w:eastAsia="en-US"/>
        </w:rPr>
        <w:t xml:space="preserve">MHz/ UL: </w:t>
      </w:r>
      <w:r>
        <w:rPr>
          <w:b/>
          <w:lang w:val="en-US" w:eastAsia="en-US"/>
        </w:rPr>
        <w:t>668</w:t>
      </w:r>
      <w:r w:rsidRPr="00760710">
        <w:rPr>
          <w:b/>
          <w:lang w:val="en-US" w:eastAsia="en-US"/>
        </w:rPr>
        <w:t xml:space="preserve">-703MHz. </w:t>
      </w:r>
    </w:p>
    <w:p w:rsidR="00760710" w:rsidRDefault="00760710" w:rsidP="00760710">
      <w:pPr>
        <w:rPr>
          <w:b/>
          <w:lang w:val="en-US" w:eastAsia="en-US"/>
        </w:rPr>
      </w:pPr>
      <w:r>
        <w:rPr>
          <w:b/>
          <w:lang w:val="en-US" w:eastAsia="en-US"/>
        </w:rPr>
        <w:t xml:space="preserve">Duplexer 2: </w:t>
      </w:r>
      <w:r w:rsidRPr="00760710">
        <w:rPr>
          <w:b/>
          <w:lang w:val="en-US" w:eastAsia="en-US"/>
        </w:rPr>
        <w:t>DL: 61</w:t>
      </w:r>
      <w:r>
        <w:rPr>
          <w:b/>
          <w:lang w:val="en-US" w:eastAsia="en-US"/>
        </w:rPr>
        <w:t>7</w:t>
      </w:r>
      <w:r w:rsidRPr="00760710">
        <w:rPr>
          <w:b/>
          <w:lang w:val="en-US" w:eastAsia="en-US"/>
        </w:rPr>
        <w:t xml:space="preserve">-652MHz/ UL: </w:t>
      </w:r>
      <w:r>
        <w:rPr>
          <w:b/>
          <w:lang w:val="en-US" w:eastAsia="en-US"/>
        </w:rPr>
        <w:t>663-698</w:t>
      </w:r>
      <w:r w:rsidRPr="00760710">
        <w:rPr>
          <w:b/>
          <w:lang w:val="en-US" w:eastAsia="en-US"/>
        </w:rPr>
        <w:t xml:space="preserve">MHz. </w:t>
      </w:r>
      <w:r>
        <w:rPr>
          <w:rFonts w:hint="eastAsia"/>
          <w:b/>
          <w:lang w:val="en-US"/>
        </w:rPr>
        <w:t>(</w:t>
      </w:r>
      <w:r>
        <w:rPr>
          <w:b/>
          <w:lang w:val="en-US"/>
        </w:rPr>
        <w:t>same as B71/n71)</w:t>
      </w:r>
    </w:p>
    <w:p w:rsidR="00760710" w:rsidRDefault="000D31E9" w:rsidP="00760710">
      <w:pPr>
        <w:rPr>
          <w:lang w:val="en-US" w:eastAsia="en-US"/>
        </w:rPr>
      </w:pPr>
      <w:r>
        <w:rPr>
          <w:lang w:val="en-US" w:eastAsia="en-US"/>
        </w:rPr>
        <w:t xml:space="preserve">From implementation point of view, duplexer 1 just needs to shift the center frequency of duplexer 2. The challenging issue is whether the B71 duplexer can provide enough rejection at 657MHz for the purpose of co-existence with other </w:t>
      </w:r>
      <w:r w:rsidR="00CC53D4">
        <w:rPr>
          <w:lang w:val="en-US" w:eastAsia="en-US"/>
        </w:rPr>
        <w:t>UEs. There were some discussion in last meeting on the issue [3].</w:t>
      </w:r>
      <w:r w:rsidR="00760710">
        <w:rPr>
          <w:lang w:val="en-US" w:eastAsia="en-US"/>
        </w:rPr>
        <w:t xml:space="preserve"> </w:t>
      </w:r>
      <w:r w:rsidR="00CC53D4">
        <w:rPr>
          <w:lang w:val="en-US" w:eastAsia="en-US"/>
        </w:rPr>
        <w:t xml:space="preserve">To have a better co-existence performance, the duplexer of B71 may need to provide larger than 30dB rejection at 657MHz. </w:t>
      </w:r>
    </w:p>
    <w:p w:rsidR="00760710" w:rsidRDefault="00834188" w:rsidP="00760710">
      <w:pPr>
        <w:rPr>
          <w:lang w:val="en-US" w:eastAsia="en-US"/>
        </w:rPr>
      </w:pPr>
      <w:r>
        <w:rPr>
          <w:lang w:val="en-US" w:eastAsia="en-US"/>
        </w:rPr>
        <w:t>However, as the existing B71/n71 does not have the specific requirement to provide rejection at the closer Rx frequency range, the current commercial available B71/n71 duplexer cannot be reused for the co-existence scenario with wider Rx spectrum as proposed in option B2.</w:t>
      </w:r>
    </w:p>
    <w:p w:rsidR="00834188" w:rsidRPr="00760710" w:rsidRDefault="00834188" w:rsidP="00760710">
      <w:pPr>
        <w:rPr>
          <w:lang w:val="en-US" w:eastAsia="en-US"/>
        </w:rPr>
      </w:pPr>
      <w:r>
        <w:rPr>
          <w:lang w:val="en-US" w:eastAsia="en-US"/>
        </w:rPr>
        <w:t xml:space="preserve">Duplexer 2 as well as duplexer 1 has to be redesigned with the updated requirement. Consequently, the initial consideration to utilize the existing supply chain and the economies of scale of B71/n71 does not exist anymore. Figure 2 provides the simulation results for duplexer 2. </w:t>
      </w:r>
    </w:p>
    <w:p w:rsidR="00BE243B" w:rsidRDefault="007A08D1" w:rsidP="00421971">
      <w:pPr>
        <w:jc w:val="center"/>
        <w:rPr>
          <w:lang w:val="en-US" w:eastAsia="en-US"/>
        </w:rPr>
      </w:pPr>
      <w:r w:rsidRPr="007A08D1">
        <w:rPr>
          <w:noProof/>
          <w:lang w:val="en-US"/>
        </w:rPr>
        <w:drawing>
          <wp:inline distT="0" distB="0" distL="0" distR="0">
            <wp:extent cx="5136575" cy="238379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53856" cy="2391810"/>
                    </a:xfrm>
                    <a:prstGeom prst="rect">
                      <a:avLst/>
                    </a:prstGeom>
                    <a:noFill/>
                    <a:ln>
                      <a:noFill/>
                    </a:ln>
                  </pic:spPr>
                </pic:pic>
              </a:graphicData>
            </a:graphic>
          </wp:inline>
        </w:drawing>
      </w:r>
    </w:p>
    <w:p w:rsidR="00834188" w:rsidRPr="00532650" w:rsidRDefault="00834188" w:rsidP="00834188">
      <w:pPr>
        <w:jc w:val="center"/>
        <w:rPr>
          <w:rFonts w:ascii="Arial" w:hAnsi="Arial" w:cs="Arial"/>
          <w:b/>
          <w:lang w:val="en-US" w:eastAsia="en-US"/>
        </w:rPr>
      </w:pPr>
      <w:r>
        <w:rPr>
          <w:rFonts w:ascii="Arial" w:hAnsi="Arial" w:cs="Arial"/>
          <w:b/>
          <w:lang w:val="en-US" w:eastAsia="en-US"/>
        </w:rPr>
        <w:t>Figure 3</w:t>
      </w:r>
      <w:r w:rsidRPr="00532650">
        <w:rPr>
          <w:rFonts w:ascii="Arial" w:hAnsi="Arial" w:cs="Arial"/>
          <w:b/>
          <w:lang w:val="en-US" w:eastAsia="en-US"/>
        </w:rPr>
        <w:t xml:space="preserve">: </w:t>
      </w:r>
      <w:r>
        <w:rPr>
          <w:rFonts w:ascii="Arial" w:hAnsi="Arial" w:cs="Arial"/>
          <w:b/>
          <w:lang w:val="en-US" w:eastAsia="en-US"/>
        </w:rPr>
        <w:t>Duplexer evaluation for option B2</w:t>
      </w:r>
    </w:p>
    <w:p w:rsidR="005369EE" w:rsidRDefault="00834188" w:rsidP="005369EE">
      <w:pPr>
        <w:rPr>
          <w:lang w:val="en-US" w:eastAsia="en-US"/>
        </w:rPr>
      </w:pPr>
      <w:r>
        <w:rPr>
          <w:lang w:val="en-US" w:eastAsia="en-US"/>
        </w:rPr>
        <w:t xml:space="preserve">From the evaluation, </w:t>
      </w:r>
      <w:r w:rsidR="00B804DB">
        <w:rPr>
          <w:lang w:val="en-US" w:eastAsia="en-US"/>
        </w:rPr>
        <w:t>we see dual duplexer solution is implementation feasible. But both Dup 1 and Dup 2 under the dual-duplexer architecture need to be newly designed.</w:t>
      </w:r>
      <w:r w:rsidR="005C13FC">
        <w:rPr>
          <w:lang w:val="en-US" w:eastAsia="en-US"/>
        </w:rPr>
        <w:t xml:space="preserve"> Some REFSENS degradation may happen for the frequency close to the low edge of Dup 2 </w:t>
      </w:r>
      <w:proofErr w:type="spellStart"/>
      <w:r w:rsidR="005C13FC">
        <w:rPr>
          <w:lang w:val="en-US" w:eastAsia="en-US"/>
        </w:rPr>
        <w:t>Tx</w:t>
      </w:r>
      <w:proofErr w:type="spellEnd"/>
      <w:r w:rsidR="005C13FC">
        <w:rPr>
          <w:lang w:val="en-US" w:eastAsia="en-US"/>
        </w:rPr>
        <w:t xml:space="preserve">.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This contribution provides</w:t>
      </w:r>
      <w:r w:rsidR="00B804DB">
        <w:t xml:space="preserve"> feasibility analysis for </w:t>
      </w:r>
      <w:r w:rsidR="00C21002">
        <w:t>the 600MHz band plan options</w:t>
      </w:r>
      <w:r w:rsidR="00B804DB">
        <w:t>. Based on the evaluation, we have the following observations and proposal.</w:t>
      </w:r>
    </w:p>
    <w:p w:rsidR="005369EE" w:rsidRDefault="005369EE" w:rsidP="005369EE">
      <w:pPr>
        <w:rPr>
          <w:b/>
          <w:i/>
          <w:lang w:val="en-US" w:eastAsia="en-US"/>
        </w:rPr>
      </w:pPr>
      <w:bookmarkStart w:id="4" w:name="OLE_LINK23"/>
      <w:bookmarkStart w:id="5" w:name="OLE_LINK24"/>
      <w:r>
        <w:rPr>
          <w:b/>
          <w:i/>
          <w:lang w:val="en-US" w:eastAsia="en-US"/>
        </w:rPr>
        <w:t>Observation 1: From the</w:t>
      </w:r>
      <w:r w:rsidR="00B804DB">
        <w:rPr>
          <w:b/>
          <w:i/>
          <w:lang w:val="en-US" w:eastAsia="en-US"/>
        </w:rPr>
        <w:t xml:space="preserve"> evaluation, it is observed that full band duplexer with 11MHz gap in B1 and dual-duplexer in B2 are </w:t>
      </w:r>
      <w:r w:rsidR="00844B84">
        <w:rPr>
          <w:b/>
          <w:i/>
          <w:lang w:val="en-US" w:eastAsia="en-US"/>
        </w:rPr>
        <w:t>both implementation feasible, while full band duplexer with 6MHz gap is not feasible for the current filter implementation.</w:t>
      </w:r>
    </w:p>
    <w:p w:rsidR="00B804DB" w:rsidRDefault="00B804DB" w:rsidP="005369EE">
      <w:pPr>
        <w:rPr>
          <w:b/>
          <w:i/>
          <w:lang w:val="en-US" w:eastAsia="en-US"/>
        </w:rPr>
      </w:pPr>
      <w:r>
        <w:rPr>
          <w:b/>
          <w:i/>
          <w:lang w:val="en-US" w:eastAsia="en-US"/>
        </w:rPr>
        <w:t xml:space="preserve">Observation 2: </w:t>
      </w:r>
      <w:r w:rsidR="00844B84">
        <w:rPr>
          <w:b/>
          <w:i/>
          <w:lang w:val="en-US" w:eastAsia="en-US"/>
        </w:rPr>
        <w:t xml:space="preserve">For </w:t>
      </w:r>
      <w:r>
        <w:rPr>
          <w:b/>
          <w:i/>
          <w:lang w:val="en-US" w:eastAsia="en-US"/>
        </w:rPr>
        <w:t>Option B1</w:t>
      </w:r>
      <w:r w:rsidR="00844B84">
        <w:rPr>
          <w:b/>
          <w:i/>
          <w:lang w:val="en-US" w:eastAsia="en-US"/>
        </w:rPr>
        <w:t>, a full band duplexer could have identical performance as existing B71/n71 duplexer while</w:t>
      </w:r>
      <w:r>
        <w:rPr>
          <w:b/>
          <w:i/>
          <w:lang w:val="en-US" w:eastAsia="en-US"/>
        </w:rPr>
        <w:t xml:space="preserve"> </w:t>
      </w:r>
      <w:r w:rsidR="00844B84">
        <w:rPr>
          <w:b/>
          <w:i/>
          <w:lang w:val="en-US" w:eastAsia="en-US"/>
        </w:rPr>
        <w:t xml:space="preserve">it </w:t>
      </w:r>
      <w:r>
        <w:rPr>
          <w:b/>
          <w:i/>
          <w:lang w:val="en-US" w:eastAsia="en-US"/>
        </w:rPr>
        <w:t>may have worse Rx blocking issue as the Rx frequency range is closer to DTV CH36.</w:t>
      </w:r>
    </w:p>
    <w:p w:rsidR="00B804DB" w:rsidRDefault="00B804DB" w:rsidP="005369EE">
      <w:pPr>
        <w:rPr>
          <w:b/>
          <w:i/>
          <w:lang w:val="en-US"/>
        </w:rPr>
      </w:pPr>
      <w:r>
        <w:rPr>
          <w:b/>
          <w:i/>
          <w:lang w:val="en-US" w:eastAsia="en-US"/>
        </w:rPr>
        <w:t>Observation 3</w:t>
      </w:r>
      <w:r>
        <w:rPr>
          <w:rFonts w:hint="eastAsia"/>
          <w:b/>
          <w:i/>
          <w:lang w:val="en-US"/>
        </w:rPr>
        <w:t>:</w:t>
      </w:r>
      <w:r>
        <w:rPr>
          <w:b/>
          <w:i/>
          <w:lang w:val="en-US"/>
        </w:rPr>
        <w:t xml:space="preserve"> Option B2 needs to pay more attention to the co-existence issue for the duplexer design. The existing B71/n71 duplexer cannot be reused.</w:t>
      </w:r>
    </w:p>
    <w:p w:rsidR="005369EE" w:rsidRPr="005369EE" w:rsidRDefault="005369EE" w:rsidP="005369EE">
      <w:pPr>
        <w:rPr>
          <w:b/>
          <w:i/>
          <w:lang w:val="en-US" w:eastAsia="en-US"/>
        </w:rPr>
      </w:pPr>
      <w:r w:rsidRPr="005369EE">
        <w:rPr>
          <w:b/>
          <w:i/>
          <w:lang w:val="en-US" w:eastAsia="en-US"/>
        </w:rPr>
        <w:t>Proposal 1: It is proposed to</w:t>
      </w:r>
      <w:r w:rsidR="00B804DB">
        <w:rPr>
          <w:b/>
          <w:i/>
          <w:lang w:val="en-US" w:eastAsia="en-US"/>
        </w:rPr>
        <w:t xml:space="preserve"> focus on the band plan option B1 based on the duplexer feasibility analysis</w:t>
      </w:r>
      <w:r w:rsidRPr="005369EE">
        <w:rPr>
          <w:b/>
          <w:i/>
          <w:lang w:val="en-US" w:eastAsia="en-US"/>
        </w:rPr>
        <w:t>.</w:t>
      </w:r>
    </w:p>
    <w:bookmarkEnd w:id="4"/>
    <w:bookmarkEnd w:id="5"/>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1C3AA7" w:rsidRPr="001C3AA7">
        <w:t>R4-2103372</w:t>
      </w:r>
      <w:r w:rsidR="001C3AA7">
        <w:t>,</w:t>
      </w:r>
      <w:r w:rsidR="001C3AA7" w:rsidRPr="001C3AA7">
        <w:t xml:space="preserve"> WF on bands plans for further study and duplex filter options</w:t>
      </w:r>
      <w:r w:rsidR="001C3AA7">
        <w:t>, Nokia</w:t>
      </w:r>
    </w:p>
    <w:p w:rsidR="008D68A7" w:rsidRDefault="008D68A7" w:rsidP="00F71A33">
      <w:r>
        <w:rPr>
          <w:rFonts w:hint="eastAsia"/>
        </w:rPr>
        <w:t>[</w:t>
      </w:r>
      <w:r w:rsidR="00BA4197">
        <w:t>2</w:t>
      </w:r>
      <w:r>
        <w:rPr>
          <w:rFonts w:hint="eastAsia"/>
        </w:rPr>
        <w:t>]</w:t>
      </w:r>
      <w:r>
        <w:t xml:space="preserve"> </w:t>
      </w:r>
      <w:r w:rsidR="004F72AF" w:rsidRPr="004F72AF">
        <w:t>AWG-27/OUT-17</w:t>
      </w:r>
      <w:r w:rsidR="004F72AF">
        <w:t xml:space="preserve">, </w:t>
      </w:r>
      <w:r w:rsidR="004F72AF" w:rsidRPr="004F72AF">
        <w:t>REPLY LIAISON STATEMENT TO 3GPP RAN, 3GPP RAN4</w:t>
      </w:r>
      <w:r w:rsidR="004F72AF">
        <w:t xml:space="preserve">, </w:t>
      </w:r>
      <w:r w:rsidR="004F72AF">
        <w:rPr>
          <w:rFonts w:hint="eastAsia"/>
          <w:lang w:eastAsia="ko-KR"/>
        </w:rPr>
        <w:t>A</w:t>
      </w:r>
      <w:r w:rsidR="004F72AF">
        <w:rPr>
          <w:lang w:eastAsia="ko-KR"/>
        </w:rPr>
        <w:t>PT Wireless Group</w:t>
      </w:r>
    </w:p>
    <w:p w:rsidR="00BA4197" w:rsidRDefault="00BA4197" w:rsidP="00F71A33">
      <w:r>
        <w:t xml:space="preserve">[3] </w:t>
      </w:r>
      <w:r w:rsidRPr="00BA4197">
        <w:t>R4-2102407</w:t>
      </w:r>
      <w:r>
        <w:t xml:space="preserve">, </w:t>
      </w:r>
      <w:r w:rsidRPr="00BA4197">
        <w:t>600 MHz band for Region 3</w:t>
      </w:r>
      <w:r>
        <w:t>, Qualcomm</w:t>
      </w:r>
    </w:p>
    <w:p w:rsidR="00CB1BC9" w:rsidRDefault="00CB1BC9" w:rsidP="00F71A33"/>
    <w:p w:rsidR="008D68A7" w:rsidRDefault="008D68A7" w:rsidP="00F71A33"/>
    <w:sectPr w:rsidR="008D68A7"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5B7" w:rsidRDefault="00DA45B7" w:rsidP="0052762B">
      <w:r>
        <w:separator/>
      </w:r>
    </w:p>
  </w:endnote>
  <w:endnote w:type="continuationSeparator" w:id="0">
    <w:p w:rsidR="00DA45B7" w:rsidRDefault="00DA45B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5B7" w:rsidRDefault="00DA45B7" w:rsidP="0052762B">
      <w:r>
        <w:separator/>
      </w:r>
    </w:p>
  </w:footnote>
  <w:footnote w:type="continuationSeparator" w:id="0">
    <w:p w:rsidR="00DA45B7" w:rsidRDefault="00DA45B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5583B"/>
    <w:multiLevelType w:val="hybridMultilevel"/>
    <w:tmpl w:val="2A4605E2"/>
    <w:lvl w:ilvl="0" w:tplc="302A1174">
      <w:start w:val="1"/>
      <w:numFmt w:val="bullet"/>
      <w:lvlText w:val="•"/>
      <w:lvlJc w:val="left"/>
      <w:pPr>
        <w:tabs>
          <w:tab w:val="num" w:pos="720"/>
        </w:tabs>
        <w:ind w:left="720" w:hanging="360"/>
      </w:pPr>
      <w:rPr>
        <w:rFonts w:ascii="Arial" w:hAnsi="Arial" w:hint="default"/>
      </w:rPr>
    </w:lvl>
    <w:lvl w:ilvl="1" w:tplc="F290048A">
      <w:numFmt w:val="bullet"/>
      <w:lvlText w:val="•"/>
      <w:lvlJc w:val="left"/>
      <w:pPr>
        <w:tabs>
          <w:tab w:val="num" w:pos="1440"/>
        </w:tabs>
        <w:ind w:left="1440" w:hanging="360"/>
      </w:pPr>
      <w:rPr>
        <w:rFonts w:ascii="Arial" w:hAnsi="Arial" w:hint="default"/>
      </w:rPr>
    </w:lvl>
    <w:lvl w:ilvl="2" w:tplc="702242F2">
      <w:numFmt w:val="bullet"/>
      <w:lvlText w:val="•"/>
      <w:lvlJc w:val="left"/>
      <w:pPr>
        <w:tabs>
          <w:tab w:val="num" w:pos="2160"/>
        </w:tabs>
        <w:ind w:left="2160" w:hanging="360"/>
      </w:pPr>
      <w:rPr>
        <w:rFonts w:ascii="Arial" w:hAnsi="Arial" w:hint="default"/>
      </w:rPr>
    </w:lvl>
    <w:lvl w:ilvl="3" w:tplc="ADBC7346" w:tentative="1">
      <w:start w:val="1"/>
      <w:numFmt w:val="bullet"/>
      <w:lvlText w:val="•"/>
      <w:lvlJc w:val="left"/>
      <w:pPr>
        <w:tabs>
          <w:tab w:val="num" w:pos="2880"/>
        </w:tabs>
        <w:ind w:left="2880" w:hanging="360"/>
      </w:pPr>
      <w:rPr>
        <w:rFonts w:ascii="Arial" w:hAnsi="Arial" w:hint="default"/>
      </w:rPr>
    </w:lvl>
    <w:lvl w:ilvl="4" w:tplc="A6D4ACAC" w:tentative="1">
      <w:start w:val="1"/>
      <w:numFmt w:val="bullet"/>
      <w:lvlText w:val="•"/>
      <w:lvlJc w:val="left"/>
      <w:pPr>
        <w:tabs>
          <w:tab w:val="num" w:pos="3600"/>
        </w:tabs>
        <w:ind w:left="3600" w:hanging="360"/>
      </w:pPr>
      <w:rPr>
        <w:rFonts w:ascii="Arial" w:hAnsi="Arial" w:hint="default"/>
      </w:rPr>
    </w:lvl>
    <w:lvl w:ilvl="5" w:tplc="F3B28884" w:tentative="1">
      <w:start w:val="1"/>
      <w:numFmt w:val="bullet"/>
      <w:lvlText w:val="•"/>
      <w:lvlJc w:val="left"/>
      <w:pPr>
        <w:tabs>
          <w:tab w:val="num" w:pos="4320"/>
        </w:tabs>
        <w:ind w:left="4320" w:hanging="360"/>
      </w:pPr>
      <w:rPr>
        <w:rFonts w:ascii="Arial" w:hAnsi="Arial" w:hint="default"/>
      </w:rPr>
    </w:lvl>
    <w:lvl w:ilvl="6" w:tplc="95C8A960" w:tentative="1">
      <w:start w:val="1"/>
      <w:numFmt w:val="bullet"/>
      <w:lvlText w:val="•"/>
      <w:lvlJc w:val="left"/>
      <w:pPr>
        <w:tabs>
          <w:tab w:val="num" w:pos="5040"/>
        </w:tabs>
        <w:ind w:left="5040" w:hanging="360"/>
      </w:pPr>
      <w:rPr>
        <w:rFonts w:ascii="Arial" w:hAnsi="Arial" w:hint="default"/>
      </w:rPr>
    </w:lvl>
    <w:lvl w:ilvl="7" w:tplc="70641DA2" w:tentative="1">
      <w:start w:val="1"/>
      <w:numFmt w:val="bullet"/>
      <w:lvlText w:val="•"/>
      <w:lvlJc w:val="left"/>
      <w:pPr>
        <w:tabs>
          <w:tab w:val="num" w:pos="5760"/>
        </w:tabs>
        <w:ind w:left="5760" w:hanging="360"/>
      </w:pPr>
      <w:rPr>
        <w:rFonts w:ascii="Arial" w:hAnsi="Arial" w:hint="default"/>
      </w:rPr>
    </w:lvl>
    <w:lvl w:ilvl="8" w:tplc="459858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5047769"/>
    <w:multiLevelType w:val="hybridMultilevel"/>
    <w:tmpl w:val="8C7CF60A"/>
    <w:lvl w:ilvl="0" w:tplc="302A1174">
      <w:start w:val="1"/>
      <w:numFmt w:val="bullet"/>
      <w:lvlText w:val="•"/>
      <w:lvlJc w:val="left"/>
      <w:pPr>
        <w:tabs>
          <w:tab w:val="num" w:pos="720"/>
        </w:tabs>
        <w:ind w:left="720" w:hanging="360"/>
      </w:pPr>
      <w:rPr>
        <w:rFonts w:ascii="Arial" w:hAnsi="Arial" w:hint="default"/>
      </w:rPr>
    </w:lvl>
    <w:lvl w:ilvl="1" w:tplc="9782F2BE">
      <w:start w:val="12"/>
      <w:numFmt w:val="bullet"/>
      <w:lvlText w:val="-"/>
      <w:lvlJc w:val="left"/>
      <w:pPr>
        <w:tabs>
          <w:tab w:val="num" w:pos="1440"/>
        </w:tabs>
        <w:ind w:left="1440" w:hanging="360"/>
      </w:pPr>
      <w:rPr>
        <w:rFonts w:ascii="Arial" w:eastAsia="Malgun Gothic" w:hAnsi="Arial" w:cs="Arial" w:hint="default"/>
      </w:rPr>
    </w:lvl>
    <w:lvl w:ilvl="2" w:tplc="702242F2">
      <w:numFmt w:val="bullet"/>
      <w:lvlText w:val="•"/>
      <w:lvlJc w:val="left"/>
      <w:pPr>
        <w:tabs>
          <w:tab w:val="num" w:pos="2160"/>
        </w:tabs>
        <w:ind w:left="2160" w:hanging="360"/>
      </w:pPr>
      <w:rPr>
        <w:rFonts w:ascii="Arial" w:hAnsi="Arial" w:hint="default"/>
      </w:rPr>
    </w:lvl>
    <w:lvl w:ilvl="3" w:tplc="ADBC7346" w:tentative="1">
      <w:start w:val="1"/>
      <w:numFmt w:val="bullet"/>
      <w:lvlText w:val="•"/>
      <w:lvlJc w:val="left"/>
      <w:pPr>
        <w:tabs>
          <w:tab w:val="num" w:pos="2880"/>
        </w:tabs>
        <w:ind w:left="2880" w:hanging="360"/>
      </w:pPr>
      <w:rPr>
        <w:rFonts w:ascii="Arial" w:hAnsi="Arial" w:hint="default"/>
      </w:rPr>
    </w:lvl>
    <w:lvl w:ilvl="4" w:tplc="A6D4ACAC" w:tentative="1">
      <w:start w:val="1"/>
      <w:numFmt w:val="bullet"/>
      <w:lvlText w:val="•"/>
      <w:lvlJc w:val="left"/>
      <w:pPr>
        <w:tabs>
          <w:tab w:val="num" w:pos="3600"/>
        </w:tabs>
        <w:ind w:left="3600" w:hanging="360"/>
      </w:pPr>
      <w:rPr>
        <w:rFonts w:ascii="Arial" w:hAnsi="Arial" w:hint="default"/>
      </w:rPr>
    </w:lvl>
    <w:lvl w:ilvl="5" w:tplc="F3B28884" w:tentative="1">
      <w:start w:val="1"/>
      <w:numFmt w:val="bullet"/>
      <w:lvlText w:val="•"/>
      <w:lvlJc w:val="left"/>
      <w:pPr>
        <w:tabs>
          <w:tab w:val="num" w:pos="4320"/>
        </w:tabs>
        <w:ind w:left="4320" w:hanging="360"/>
      </w:pPr>
      <w:rPr>
        <w:rFonts w:ascii="Arial" w:hAnsi="Arial" w:hint="default"/>
      </w:rPr>
    </w:lvl>
    <w:lvl w:ilvl="6" w:tplc="95C8A960" w:tentative="1">
      <w:start w:val="1"/>
      <w:numFmt w:val="bullet"/>
      <w:lvlText w:val="•"/>
      <w:lvlJc w:val="left"/>
      <w:pPr>
        <w:tabs>
          <w:tab w:val="num" w:pos="5040"/>
        </w:tabs>
        <w:ind w:left="5040" w:hanging="360"/>
      </w:pPr>
      <w:rPr>
        <w:rFonts w:ascii="Arial" w:hAnsi="Arial" w:hint="default"/>
      </w:rPr>
    </w:lvl>
    <w:lvl w:ilvl="7" w:tplc="70641DA2" w:tentative="1">
      <w:start w:val="1"/>
      <w:numFmt w:val="bullet"/>
      <w:lvlText w:val="•"/>
      <w:lvlJc w:val="left"/>
      <w:pPr>
        <w:tabs>
          <w:tab w:val="num" w:pos="5760"/>
        </w:tabs>
        <w:ind w:left="5760" w:hanging="360"/>
      </w:pPr>
      <w:rPr>
        <w:rFonts w:ascii="Arial" w:hAnsi="Arial" w:hint="default"/>
      </w:rPr>
    </w:lvl>
    <w:lvl w:ilvl="8" w:tplc="459858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7"/>
  </w:num>
  <w:num w:numId="5">
    <w:abstractNumId w:val="1"/>
  </w:num>
  <w:num w:numId="6">
    <w:abstractNumId w:val="36"/>
  </w:num>
  <w:num w:numId="7">
    <w:abstractNumId w:val="17"/>
  </w:num>
  <w:num w:numId="8">
    <w:abstractNumId w:val="29"/>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5"/>
  </w:num>
  <w:num w:numId="25">
    <w:abstractNumId w:val="8"/>
  </w:num>
  <w:num w:numId="26">
    <w:abstractNumId w:val="34"/>
  </w:num>
  <w:num w:numId="27">
    <w:abstractNumId w:val="33"/>
  </w:num>
  <w:num w:numId="28">
    <w:abstractNumId w:val="18"/>
  </w:num>
  <w:num w:numId="29">
    <w:abstractNumId w:val="39"/>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2"/>
  </w:num>
  <w:num w:numId="44">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DD2"/>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1E9"/>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3AA7"/>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854"/>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82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EC7"/>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971"/>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7B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2AF"/>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650"/>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3F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0A4A"/>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00E"/>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710"/>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8D1"/>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2D6"/>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188"/>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B84"/>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354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68A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E9B"/>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4DB"/>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197"/>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3B"/>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002"/>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0DF"/>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BC9"/>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D4"/>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62"/>
    <w:rsid w:val="00CF3ACD"/>
    <w:rsid w:val="00CF3FAB"/>
    <w:rsid w:val="00CF4347"/>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B7"/>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B6C"/>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66"/>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2BE"/>
    <w:rsid w:val="00E83758"/>
    <w:rsid w:val="00E8378B"/>
    <w:rsid w:val="00E83899"/>
    <w:rsid w:val="00E83BC8"/>
    <w:rsid w:val="00E83C64"/>
    <w:rsid w:val="00E84A07"/>
    <w:rsid w:val="00E85AF4"/>
    <w:rsid w:val="00E85FE3"/>
    <w:rsid w:val="00E8639A"/>
    <w:rsid w:val="00E87209"/>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BB7"/>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2294247">
      <w:bodyDiv w:val="1"/>
      <w:marLeft w:val="0"/>
      <w:marRight w:val="0"/>
      <w:marTop w:val="0"/>
      <w:marBottom w:val="0"/>
      <w:divBdr>
        <w:top w:val="none" w:sz="0" w:space="0" w:color="auto"/>
        <w:left w:val="none" w:sz="0" w:space="0" w:color="auto"/>
        <w:bottom w:val="none" w:sz="0" w:space="0" w:color="auto"/>
        <w:right w:val="none" w:sz="0" w:space="0" w:color="auto"/>
      </w:divBdr>
      <w:divsChild>
        <w:div w:id="1503544688">
          <w:marLeft w:val="360"/>
          <w:marRight w:val="0"/>
          <w:marTop w:val="200"/>
          <w:marBottom w:val="0"/>
          <w:divBdr>
            <w:top w:val="none" w:sz="0" w:space="0" w:color="auto"/>
            <w:left w:val="none" w:sz="0" w:space="0" w:color="auto"/>
            <w:bottom w:val="none" w:sz="0" w:space="0" w:color="auto"/>
            <w:right w:val="none" w:sz="0" w:space="0" w:color="auto"/>
          </w:divBdr>
        </w:div>
        <w:div w:id="1790734600">
          <w:marLeft w:val="1080"/>
          <w:marRight w:val="0"/>
          <w:marTop w:val="100"/>
          <w:marBottom w:val="0"/>
          <w:divBdr>
            <w:top w:val="none" w:sz="0" w:space="0" w:color="auto"/>
            <w:left w:val="none" w:sz="0" w:space="0" w:color="auto"/>
            <w:bottom w:val="none" w:sz="0" w:space="0" w:color="auto"/>
            <w:right w:val="none" w:sz="0" w:space="0" w:color="auto"/>
          </w:divBdr>
        </w:div>
        <w:div w:id="1273630716">
          <w:marLeft w:val="1080"/>
          <w:marRight w:val="0"/>
          <w:marTop w:val="100"/>
          <w:marBottom w:val="0"/>
          <w:divBdr>
            <w:top w:val="none" w:sz="0" w:space="0" w:color="auto"/>
            <w:left w:val="none" w:sz="0" w:space="0" w:color="auto"/>
            <w:bottom w:val="none" w:sz="0" w:space="0" w:color="auto"/>
            <w:right w:val="none" w:sz="0" w:space="0" w:color="auto"/>
          </w:divBdr>
        </w:div>
        <w:div w:id="727609836">
          <w:marLeft w:val="1800"/>
          <w:marRight w:val="0"/>
          <w:marTop w:val="100"/>
          <w:marBottom w:val="0"/>
          <w:divBdr>
            <w:top w:val="none" w:sz="0" w:space="0" w:color="auto"/>
            <w:left w:val="none" w:sz="0" w:space="0" w:color="auto"/>
            <w:bottom w:val="none" w:sz="0" w:space="0" w:color="auto"/>
            <w:right w:val="none" w:sz="0" w:space="0" w:color="auto"/>
          </w:divBdr>
        </w:div>
        <w:div w:id="598219302">
          <w:marLeft w:val="1800"/>
          <w:marRight w:val="0"/>
          <w:marTop w:val="100"/>
          <w:marBottom w:val="0"/>
          <w:divBdr>
            <w:top w:val="none" w:sz="0" w:space="0" w:color="auto"/>
            <w:left w:val="none" w:sz="0" w:space="0" w:color="auto"/>
            <w:bottom w:val="none" w:sz="0" w:space="0" w:color="auto"/>
            <w:right w:val="none" w:sz="0" w:space="0" w:color="auto"/>
          </w:divBdr>
        </w:div>
        <w:div w:id="976030329">
          <w:marLeft w:val="1080"/>
          <w:marRight w:val="0"/>
          <w:marTop w:val="100"/>
          <w:marBottom w:val="0"/>
          <w:divBdr>
            <w:top w:val="none" w:sz="0" w:space="0" w:color="auto"/>
            <w:left w:val="none" w:sz="0" w:space="0" w:color="auto"/>
            <w:bottom w:val="none" w:sz="0" w:space="0" w:color="auto"/>
            <w:right w:val="none" w:sz="0" w:space="0" w:color="auto"/>
          </w:divBdr>
        </w:div>
        <w:div w:id="722370171">
          <w:marLeft w:val="1800"/>
          <w:marRight w:val="0"/>
          <w:marTop w:val="100"/>
          <w:marBottom w:val="0"/>
          <w:divBdr>
            <w:top w:val="none" w:sz="0" w:space="0" w:color="auto"/>
            <w:left w:val="none" w:sz="0" w:space="0" w:color="auto"/>
            <w:bottom w:val="none" w:sz="0" w:space="0" w:color="auto"/>
            <w:right w:val="none" w:sz="0" w:space="0" w:color="auto"/>
          </w:divBdr>
        </w:div>
        <w:div w:id="1165391054">
          <w:marLeft w:val="1800"/>
          <w:marRight w:val="0"/>
          <w:marTop w:val="100"/>
          <w:marBottom w:val="0"/>
          <w:divBdr>
            <w:top w:val="none" w:sz="0" w:space="0" w:color="auto"/>
            <w:left w:val="none" w:sz="0" w:space="0" w:color="auto"/>
            <w:bottom w:val="none" w:sz="0" w:space="0" w:color="auto"/>
            <w:right w:val="none" w:sz="0" w:space="0" w:color="auto"/>
          </w:divBdr>
        </w:div>
        <w:div w:id="414059705">
          <w:marLeft w:val="180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3DA38-0829-45C8-931F-460E1011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835</TotalTime>
  <Pages>4</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20</cp:revision>
  <cp:lastPrinted>2010-01-07T02:23:00Z</cp:lastPrinted>
  <dcterms:created xsi:type="dcterms:W3CDTF">2021-03-31T11:01:00Z</dcterms:created>
  <dcterms:modified xsi:type="dcterms:W3CDTF">2021-04-02T20:17:00Z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(3)qVcoB/pfOwN+09z9LmGpim4/n6korkMKWXtLTX1ddiwtPbWZ2t6Xb36z6bP4Gp+FV3VI3LcD
HJ40tOPdMuIbv8zaTY5CbardoR0IwVGhRNYLB4+EfT+a9Q5ghbwsjJA+PBhI6VoXlFBOpxVL
+TbJNQWYiKI/s+nHB2oI5K9VzdbWhhxUh+wLBNVNPUdS9WFTBulrwOS1O1py9s+UVNRLs0Pw
gD9ib3AzxVtF0DBS62</vt:lpwstr>
  </property>
  <property fmtid="{D5CDD505-2E9C-101B-9397-08002B2CF9AE}" pid="15" name="_2015_ms_pID_725343_00">
    <vt:lpwstr>_2015_ms_pID_725343</vt:lpwstr>
  </property>
  <property fmtid="{D5CDD505-2E9C-101B-9397-08002B2CF9AE}" pid="16" name="_2015_ms_pID_7253431">
    <vt:lpwstr>pU4AP3RR+b+NJ1dAAnQ61uQC5yaHxptDTZFqeNEPESgWQK1+tlHLKu
Ofp9alcPOSt1PsAOCtkB8J4fL5fV0oMtUs06HS8UD9+0TzpQePwPU1IcW+OacTPYPvcMvlMm
oknanLiTAdOkdkhOvQEV+8DEwDiPotlZXT11iE24g4OpRxTDAnnqPvl/MKDDH+/6bJR8KHbd
sqoRm00uDipgJdWdy/a4Jis7QQ98RSCnqb7h</vt:lpwstr>
  </property>
  <property fmtid="{D5CDD505-2E9C-101B-9397-08002B2CF9AE}" pid="17" name="_2015_ms_pID_7253431_00">
    <vt:lpwstr>_2015_ms_pID_7253431</vt:lpwstr>
  </property>
  <property fmtid="{D5CDD505-2E9C-101B-9397-08002B2CF9AE}" pid="18" name="_2015_ms_pID_7253432">
    <vt:lpwstr>JCrqSpg2zQjqPDPYKi3P2No=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